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Cs w:val="22"/>
        </w:rPr>
      </w:pPr>
      <w:r>
        <w:rPr>
          <w:rFonts w:cs="Arial"/>
          <w:szCs w:val="22"/>
        </w:rPr>
        <w:t xml:space="preserve">Our students receive RCR training that exceeds NIH recommendations. They experience </w:t>
      </w:r>
      <w:r>
        <w:rPr>
          <w:rFonts w:cs="Arial"/>
          <w:b/>
          <w:szCs w:val="22"/>
        </w:rPr>
        <w:t>15 hours of face-to-face training</w:t>
      </w:r>
      <w:r>
        <w:rPr>
          <w:rFonts w:cs="Arial"/>
          <w:szCs w:val="22"/>
        </w:rPr>
        <w:t xml:space="preserve"> </w:t>
      </w:r>
      <w:r>
        <w:rPr>
          <w:rFonts w:cs="Arial"/>
          <w:szCs w:val="22"/>
          <w:u w:val="single"/>
        </w:rPr>
        <w:t>with faculty in a discussion format</w:t>
      </w:r>
      <w:r>
        <w:rPr>
          <w:rFonts w:cs="Arial"/>
          <w:szCs w:val="22"/>
        </w:rPr>
        <w:t xml:space="preserve">, and an additional 3 hours of online instruction. The students are exposed to </w:t>
      </w:r>
      <w:r>
        <w:rPr>
          <w:rFonts w:cs="Arial"/>
          <w:b/>
          <w:szCs w:val="22"/>
        </w:rPr>
        <w:t>all nine topics</w:t>
      </w:r>
      <w:r>
        <w:rPr>
          <w:rFonts w:cs="Arial"/>
          <w:szCs w:val="22"/>
        </w:rPr>
        <w:t xml:space="preserve"> recommended by the NIH, including research misconduct, data acquisition and management, conflict of interest, responsible authorship/publication, peer review, mentor/mentee responsibilities, collaborative science, use of animals in research, use of humans in research, and the scientist as a responsible member of society. In line with NOT-OD-10-019, to ensure that these topics are considered in sufficient depth, and to allow learning to be better consolidated, the BGS program spaces out this training, using a </w:t>
      </w:r>
      <w:r>
        <w:rPr>
          <w:rFonts w:cs="Arial"/>
          <w:b/>
          <w:szCs w:val="22"/>
        </w:rPr>
        <w:t>stage-appropriate model</w:t>
      </w:r>
      <w:r>
        <w:rPr>
          <w:rFonts w:cs="Arial"/>
          <w:szCs w:val="22"/>
        </w:rPr>
        <w:t xml:space="preserve"> as detailed below. This RCR training plan was also designed to </w:t>
      </w:r>
      <w:r>
        <w:rPr>
          <w:rFonts w:cs="Arial"/>
          <w:b/>
          <w:szCs w:val="22"/>
        </w:rPr>
        <w:t>meet the NIH instructional plan</w:t>
      </w:r>
      <w:r>
        <w:rPr>
          <w:rFonts w:cs="Arial"/>
          <w:szCs w:val="22"/>
        </w:rPr>
        <w:t xml:space="preserve"> for </w:t>
      </w:r>
      <w:r>
        <w:rPr>
          <w:rFonts w:eastAsia="Times New Roman" w:cs="Arial"/>
          <w:color w:val="333333"/>
          <w:szCs w:val="22"/>
          <w:shd w:fill="FFFFFF" w:val="clear"/>
          <w:lang w:eastAsia="en-US"/>
        </w:rPr>
        <w:t xml:space="preserve">Format, Subject Matter, Faculty Participation, Duration and Frequency, and is in keeping with that document’s tenet of synthesizing and re-enforcing these issues within a “broad conceptual framework”. </w:t>
      </w:r>
      <w:r>
        <w:rPr>
          <w:rFonts w:cs="Arial"/>
          <w:szCs w:val="22"/>
        </w:rPr>
        <w:t xml:space="preserve"> </w:t>
      </w:r>
    </w:p>
    <w:p>
      <w:pPr>
        <w:pStyle w:val="Normal"/>
        <w:rPr>
          <w:rFonts w:cs="Arial"/>
          <w:szCs w:val="22"/>
        </w:rPr>
      </w:pPr>
      <w:r>
        <w:rPr>
          <w:rFonts w:cs="Arial"/>
          <w:szCs w:val="22"/>
        </w:rPr>
      </w:r>
    </w:p>
    <w:p>
      <w:pPr>
        <w:pStyle w:val="Normal"/>
        <w:rPr/>
      </w:pPr>
      <w:r>
        <w:rPr>
          <w:rFonts w:cs="Arial"/>
          <w:b/>
          <w:color w:val="000000" w:themeColor="text1"/>
          <w:szCs w:val="22"/>
        </w:rPr>
        <w:t>Year one</w:t>
      </w:r>
      <w:r>
        <w:rPr>
          <w:rFonts w:cs="Arial"/>
          <w:color w:val="000000" w:themeColor="text1"/>
          <w:szCs w:val="22"/>
        </w:rPr>
        <w:t xml:space="preserve"> (</w:t>
      </w:r>
      <w:r>
        <w:rPr>
          <w:rFonts w:cs="Arial"/>
          <w:b/>
          <w:color w:val="000000" w:themeColor="text1"/>
          <w:szCs w:val="22"/>
        </w:rPr>
        <w:t>4.5 hours</w:t>
      </w:r>
      <w:r>
        <w:rPr>
          <w:rFonts w:cs="Arial"/>
          <w:color w:val="000000" w:themeColor="text1"/>
          <w:szCs w:val="22"/>
        </w:rPr>
        <w:t xml:space="preserve">): Incoming students attend an introductory lecture (.5 hr) on RCR that touches on each of the issues listed above, and includes coverage of </w:t>
      </w:r>
      <w:r>
        <w:rPr>
          <w:rFonts w:cs="Arial"/>
          <w:color w:val="000000" w:themeColor="text1"/>
          <w:szCs w:val="22"/>
          <w:u w:val="single"/>
        </w:rPr>
        <w:t>Research Misconduct</w:t>
      </w:r>
      <w:r>
        <w:rPr>
          <w:rFonts w:cs="Arial"/>
          <w:color w:val="000000" w:themeColor="text1"/>
          <w:szCs w:val="22"/>
        </w:rPr>
        <w:t xml:space="preserve">. This is followed by sessions on </w:t>
      </w:r>
      <w:r>
        <w:rPr>
          <w:rFonts w:cs="Arial"/>
          <w:color w:val="000000" w:themeColor="text1"/>
          <w:szCs w:val="22"/>
          <w:u w:val="single"/>
        </w:rPr>
        <w:t>data acquisition and management</w:t>
      </w:r>
      <w:r>
        <w:rPr>
          <w:rFonts w:cs="Arial"/>
          <w:color w:val="000000" w:themeColor="text1"/>
          <w:szCs w:val="22"/>
        </w:rPr>
        <w:t xml:space="preserve">, focusing on </w:t>
      </w:r>
      <w:r>
        <w:rPr>
          <w:rFonts w:cs="Arial"/>
          <w:color w:val="000000" w:themeColor="text1"/>
          <w:szCs w:val="22"/>
          <w:u w:val="single"/>
        </w:rPr>
        <w:t>best practices regarding traditional and electronic laboratory notebooks</w:t>
      </w:r>
      <w:r>
        <w:rPr>
          <w:rFonts w:cs="Arial"/>
          <w:color w:val="000000" w:themeColor="text1"/>
          <w:szCs w:val="22"/>
        </w:rPr>
        <w:t xml:space="preserve"> (2 hr), and on </w:t>
      </w:r>
      <w:r>
        <w:rPr>
          <w:rFonts w:cs="Arial"/>
          <w:color w:val="000000" w:themeColor="text1"/>
          <w:szCs w:val="22"/>
          <w:u w:val="single"/>
        </w:rPr>
        <w:t>professionalism, including mentor/mentee responsibilities</w:t>
      </w:r>
      <w:r>
        <w:rPr>
          <w:rFonts w:cs="Arial"/>
          <w:color w:val="000000" w:themeColor="text1"/>
          <w:szCs w:val="22"/>
        </w:rPr>
        <w:t xml:space="preserve"> (2 h).  Finally, the students are introduced to a resource recently developed by BGS that contains an extensive set of RCR-related materials (</w:t>
      </w:r>
      <w:hyperlink r:id="rId2">
        <w:r>
          <w:rPr>
            <w:rStyle w:val="InternetLink"/>
            <w:rFonts w:cs="Arial"/>
            <w:color w:val="000000" w:themeColor="text1"/>
            <w:szCs w:val="22"/>
          </w:rPr>
          <w:t>https://www.med.upenn.edu/bgs-rcr-exdes/</w:t>
        </w:r>
      </w:hyperlink>
      <w:r>
        <w:rPr>
          <w:rFonts w:cs="Arial"/>
          <w:color w:val="000000" w:themeColor="text1"/>
          <w:szCs w:val="22"/>
        </w:rPr>
        <w:t xml:space="preserve">), including policies and guidelines, case-studies, and material for further study in each of the above RCR topics. This site also provides students access to electronic versions of </w:t>
      </w:r>
      <w:r>
        <w:rPr>
          <w:rFonts w:cs="Arial"/>
          <w:i/>
          <w:color w:val="000000" w:themeColor="text1"/>
          <w:szCs w:val="22"/>
        </w:rPr>
        <w:t>Scientific Integrity</w:t>
      </w:r>
      <w:r>
        <w:rPr>
          <w:rFonts w:cs="Arial"/>
          <w:color w:val="000000" w:themeColor="text1"/>
          <w:szCs w:val="22"/>
        </w:rPr>
        <w:t xml:space="preserve"> (Macrina, ASM Press) and </w:t>
      </w:r>
      <w:r>
        <w:rPr>
          <w:rFonts w:cs="Arial"/>
          <w:i/>
          <w:color w:val="000000" w:themeColor="text1"/>
          <w:szCs w:val="22"/>
        </w:rPr>
        <w:t>Responsible Conduct of Research</w:t>
      </w:r>
      <w:r>
        <w:rPr>
          <w:rFonts w:cs="Arial"/>
          <w:color w:val="000000" w:themeColor="text1"/>
          <w:szCs w:val="22"/>
        </w:rPr>
        <w:t xml:space="preserve"> (Shamoo and Resnik, Oxford University Press).  </w:t>
      </w:r>
    </w:p>
    <w:p>
      <w:pPr>
        <w:pStyle w:val="Normal"/>
        <w:rPr>
          <w:rFonts w:cs="Arial"/>
          <w:color w:val="000000" w:themeColor="text1"/>
          <w:szCs w:val="22"/>
        </w:rPr>
      </w:pPr>
      <w:r>
        <w:rPr>
          <w:rFonts w:cs="Arial"/>
          <w:color w:val="000000" w:themeColor="text1"/>
          <w:szCs w:val="22"/>
        </w:rPr>
      </w:r>
    </w:p>
    <w:p>
      <w:pPr>
        <w:pStyle w:val="Normal"/>
        <w:rPr>
          <w:rFonts w:cs="Arial"/>
          <w:color w:val="000000" w:themeColor="text1"/>
          <w:szCs w:val="22"/>
        </w:rPr>
      </w:pPr>
      <w:r>
        <w:rPr>
          <w:rFonts w:cs="Arial"/>
          <w:b/>
          <w:color w:val="000000" w:themeColor="text1"/>
          <w:szCs w:val="22"/>
        </w:rPr>
        <w:t>Year two</w:t>
      </w:r>
      <w:r>
        <w:rPr>
          <w:rFonts w:cs="Arial"/>
          <w:color w:val="000000" w:themeColor="text1"/>
          <w:szCs w:val="22"/>
        </w:rPr>
        <w:t xml:space="preserve"> (</w:t>
      </w:r>
      <w:r>
        <w:rPr>
          <w:rFonts w:cs="Arial"/>
          <w:b/>
          <w:color w:val="000000" w:themeColor="text1"/>
          <w:szCs w:val="22"/>
        </w:rPr>
        <w:t>3 hrs</w:t>
      </w:r>
      <w:r>
        <w:rPr>
          <w:rFonts w:cs="Arial"/>
          <w:color w:val="000000" w:themeColor="text1"/>
          <w:szCs w:val="22"/>
        </w:rPr>
        <w:t>):  Each student must participate in a small group discussion, led by our research training faculty (</w:t>
      </w:r>
      <w:r>
        <w:rPr>
          <w:rFonts w:cs="Arial"/>
          <w:b/>
          <w:color w:val="000000" w:themeColor="text1"/>
          <w:szCs w:val="22"/>
        </w:rPr>
        <w:t>1.5 hr</w:t>
      </w:r>
      <w:r>
        <w:rPr>
          <w:rFonts w:cs="Arial"/>
          <w:color w:val="000000" w:themeColor="text1"/>
          <w:szCs w:val="22"/>
        </w:rPr>
        <w:t xml:space="preserve">; 10 -12 students, 2 faculty). </w:t>
      </w:r>
      <w:r>
        <w:rPr>
          <w:rFonts w:cs="Arial"/>
          <w:szCs w:val="22"/>
        </w:rPr>
        <w:t xml:space="preserve">Topics for second-year students are </w:t>
      </w:r>
      <w:r>
        <w:rPr>
          <w:rFonts w:cs="Arial"/>
          <w:szCs w:val="22"/>
          <w:u w:val="single"/>
        </w:rPr>
        <w:t>research misconduct (including plagiarism)</w:t>
      </w:r>
      <w:r>
        <w:rPr>
          <w:rFonts w:cs="Arial"/>
          <w:szCs w:val="22"/>
        </w:rPr>
        <w:t xml:space="preserve">, </w:t>
      </w:r>
      <w:r>
        <w:rPr>
          <w:rFonts w:cs="Arial"/>
          <w:szCs w:val="22"/>
          <w:u w:val="single"/>
        </w:rPr>
        <w:t>data management</w:t>
      </w:r>
      <w:r>
        <w:rPr>
          <w:rFonts w:cs="Arial"/>
          <w:szCs w:val="22"/>
        </w:rPr>
        <w:t xml:space="preserve">, and </w:t>
      </w:r>
      <w:r>
        <w:rPr>
          <w:rFonts w:cs="Arial"/>
          <w:szCs w:val="22"/>
          <w:u w:val="single"/>
        </w:rPr>
        <w:t>mentor/mentee relationships</w:t>
      </w:r>
      <w:r>
        <w:rPr>
          <w:rFonts w:cs="Arial"/>
          <w:szCs w:val="22"/>
        </w:rPr>
        <w:t>. Students are required to review case studies in advance of the workshop using the BGS RCR website. Students are additionally given access to the article ‘What’s in a Picture? The temptation of image manipulation’ (</w:t>
      </w:r>
      <w:r>
        <w:rPr>
          <w:rFonts w:cs="Arial"/>
          <w:i/>
          <w:szCs w:val="22"/>
        </w:rPr>
        <w:t>J. Cell. Biol.</w:t>
      </w:r>
      <w:r>
        <w:rPr>
          <w:rFonts w:cs="Arial"/>
          <w:szCs w:val="22"/>
        </w:rPr>
        <w:t xml:space="preserve"> 166: 11–15, 2004). During these workshops students and faculty engage in a process of analysis together, which includes not only the review of facts but the study of ambiguities and sometimes conflicting ethical principles. The participation of active investigators lends credibility to the process and informs the investigators’ own practices.  Additionally, the RCR principles are re-enforced by mandating that second year students complete an online module in the Collaborative Institutional Training Initiative (CITI) RCR Program (1 hr).  Finally, students will also participate in an RCR-dedicated lab meeting, organized and led by the lab principal investigator (</w:t>
      </w:r>
      <w:r>
        <w:rPr>
          <w:rFonts w:cs="Arial"/>
          <w:b/>
          <w:szCs w:val="22"/>
        </w:rPr>
        <w:t>1.5 hr</w:t>
      </w:r>
      <w:r>
        <w:rPr>
          <w:rFonts w:cs="Arial"/>
          <w:szCs w:val="22"/>
        </w:rPr>
        <w:t xml:space="preserve">). </w:t>
      </w:r>
    </w:p>
    <w:p>
      <w:pPr>
        <w:pStyle w:val="Normal"/>
        <w:rPr>
          <w:rFonts w:cs="Arial"/>
          <w:color w:val="000000" w:themeColor="text1"/>
          <w:szCs w:val="22"/>
        </w:rPr>
      </w:pPr>
      <w:r>
        <w:rPr>
          <w:rFonts w:cs="Arial"/>
          <w:color w:val="000000" w:themeColor="text1"/>
          <w:szCs w:val="22"/>
        </w:rPr>
      </w:r>
    </w:p>
    <w:p>
      <w:pPr>
        <w:pStyle w:val="Normal"/>
        <w:rPr>
          <w:rFonts w:cs="Arial"/>
          <w:color w:val="000000" w:themeColor="text1"/>
          <w:szCs w:val="22"/>
        </w:rPr>
      </w:pPr>
      <w:r>
        <w:rPr>
          <w:rFonts w:cs="Arial"/>
          <w:b/>
          <w:color w:val="000000" w:themeColor="text1"/>
          <w:szCs w:val="22"/>
        </w:rPr>
        <w:t>Year three</w:t>
      </w:r>
      <w:r>
        <w:rPr>
          <w:rFonts w:cs="Arial"/>
          <w:color w:val="000000" w:themeColor="text1"/>
          <w:szCs w:val="22"/>
        </w:rPr>
        <w:t xml:space="preserve"> (</w:t>
      </w:r>
      <w:r>
        <w:rPr>
          <w:rFonts w:cs="Arial"/>
          <w:b/>
          <w:color w:val="000000" w:themeColor="text1"/>
          <w:szCs w:val="22"/>
        </w:rPr>
        <w:t>3 hrs</w:t>
      </w:r>
      <w:r>
        <w:rPr>
          <w:rFonts w:cs="Arial"/>
          <w:color w:val="000000" w:themeColor="text1"/>
          <w:szCs w:val="22"/>
        </w:rPr>
        <w:t>):  Each student is mandated to participate in small group discussions, led by our faculty (</w:t>
      </w:r>
      <w:r>
        <w:rPr>
          <w:rFonts w:cs="Arial"/>
          <w:b/>
          <w:color w:val="000000" w:themeColor="text1"/>
          <w:szCs w:val="22"/>
        </w:rPr>
        <w:t>1.5 hr</w:t>
      </w:r>
      <w:r>
        <w:rPr>
          <w:rFonts w:cs="Arial"/>
          <w:color w:val="000000" w:themeColor="text1"/>
          <w:szCs w:val="22"/>
        </w:rPr>
        <w:t xml:space="preserve">; 10 -12 students, 2 faculty). </w:t>
      </w:r>
      <w:r>
        <w:rPr>
          <w:rFonts w:cs="Arial"/>
          <w:szCs w:val="22"/>
        </w:rPr>
        <w:t xml:space="preserve">Topics for the third year are </w:t>
      </w:r>
      <w:r>
        <w:rPr>
          <w:rFonts w:cs="Arial"/>
          <w:szCs w:val="22"/>
          <w:u w:val="single"/>
        </w:rPr>
        <w:t>collaborative science</w:t>
      </w:r>
      <w:r>
        <w:rPr>
          <w:rFonts w:cs="Arial"/>
          <w:szCs w:val="22"/>
        </w:rPr>
        <w:t xml:space="preserve">, the </w:t>
      </w:r>
      <w:r>
        <w:rPr>
          <w:rFonts w:cs="Arial"/>
          <w:szCs w:val="22"/>
          <w:u w:val="single"/>
        </w:rPr>
        <w:t>use of animals and humans in research</w:t>
      </w:r>
      <w:r>
        <w:rPr>
          <w:rFonts w:cs="Arial"/>
          <w:szCs w:val="22"/>
        </w:rPr>
        <w:t xml:space="preserve"> and </w:t>
      </w:r>
      <w:r>
        <w:rPr>
          <w:rFonts w:cs="Arial"/>
          <w:szCs w:val="22"/>
          <w:u w:val="single"/>
        </w:rPr>
        <w:t>scientist as a responsible member of society</w:t>
      </w:r>
      <w:r>
        <w:rPr>
          <w:rFonts w:cs="Arial"/>
          <w:szCs w:val="22"/>
        </w:rPr>
        <w:t>.  The RCR topics are re-enforced by mandating an additional online CITI module (1 hr).  Finally, students are required to participate in an RCR-dedicated lab meeting, organized and led by the lab principal investigator (</w:t>
      </w:r>
      <w:r>
        <w:rPr>
          <w:rFonts w:cs="Arial"/>
          <w:b/>
          <w:szCs w:val="22"/>
        </w:rPr>
        <w:t>1.5 hr</w:t>
      </w:r>
      <w:r>
        <w:rPr>
          <w:rFonts w:cs="Arial"/>
          <w:szCs w:val="22"/>
        </w:rPr>
        <w:t>).</w:t>
      </w:r>
    </w:p>
    <w:p>
      <w:pPr>
        <w:pStyle w:val="Normal"/>
        <w:rPr>
          <w:rFonts w:cs="Arial"/>
          <w:color w:val="000000" w:themeColor="text1"/>
          <w:szCs w:val="22"/>
        </w:rPr>
      </w:pPr>
      <w:r>
        <w:rPr>
          <w:rFonts w:cs="Arial"/>
          <w:color w:val="000000" w:themeColor="text1"/>
          <w:szCs w:val="22"/>
        </w:rPr>
      </w:r>
    </w:p>
    <w:p>
      <w:pPr>
        <w:pStyle w:val="Normal"/>
        <w:rPr>
          <w:rFonts w:cs="Arial"/>
          <w:szCs w:val="22"/>
        </w:rPr>
      </w:pPr>
      <w:r>
        <w:rPr>
          <w:rFonts w:cs="Arial"/>
          <w:b/>
          <w:color w:val="000000" w:themeColor="text1"/>
          <w:szCs w:val="22"/>
        </w:rPr>
        <w:t>Year four</w:t>
      </w:r>
      <w:r>
        <w:rPr>
          <w:rFonts w:cs="Arial"/>
          <w:color w:val="000000" w:themeColor="text1"/>
          <w:szCs w:val="22"/>
        </w:rPr>
        <w:t xml:space="preserve"> (</w:t>
      </w:r>
      <w:r>
        <w:rPr>
          <w:rFonts w:cs="Arial"/>
          <w:b/>
          <w:color w:val="000000" w:themeColor="text1"/>
          <w:szCs w:val="22"/>
        </w:rPr>
        <w:t>3 hrs</w:t>
      </w:r>
      <w:r>
        <w:rPr>
          <w:rFonts w:cs="Arial"/>
          <w:color w:val="000000" w:themeColor="text1"/>
          <w:szCs w:val="22"/>
        </w:rPr>
        <w:t>):  The mandated, year four small group discussion revolves around the stage-appropriate</w:t>
      </w:r>
      <w:bookmarkStart w:id="0" w:name="_GoBack"/>
      <w:bookmarkEnd w:id="0"/>
      <w:r>
        <w:rPr>
          <w:rFonts w:cs="Arial"/>
          <w:color w:val="000000" w:themeColor="text1"/>
          <w:szCs w:val="22"/>
        </w:rPr>
        <w:t xml:space="preserve"> topics of </w:t>
      </w:r>
      <w:r>
        <w:rPr>
          <w:rFonts w:cs="Arial"/>
          <w:szCs w:val="22"/>
          <w:u w:val="single"/>
        </w:rPr>
        <w:t>conflicts of interest</w:t>
      </w:r>
      <w:r>
        <w:rPr>
          <w:rFonts w:cs="Arial"/>
          <w:szCs w:val="22"/>
        </w:rPr>
        <w:t xml:space="preserve">, </w:t>
      </w:r>
      <w:r>
        <w:rPr>
          <w:rFonts w:cs="Arial"/>
          <w:szCs w:val="22"/>
          <w:u w:val="single"/>
        </w:rPr>
        <w:t>authorship/publication practices</w:t>
      </w:r>
      <w:r>
        <w:rPr>
          <w:rFonts w:cs="Arial"/>
          <w:szCs w:val="22"/>
        </w:rPr>
        <w:t xml:space="preserve">, and </w:t>
      </w:r>
      <w:r>
        <w:rPr>
          <w:rFonts w:cs="Arial"/>
          <w:szCs w:val="22"/>
          <w:u w:val="single"/>
        </w:rPr>
        <w:t>peer review</w:t>
      </w:r>
      <w:r>
        <w:rPr>
          <w:rFonts w:cs="Arial"/>
          <w:color w:val="000000" w:themeColor="text1"/>
          <w:szCs w:val="22"/>
        </w:rPr>
        <w:t xml:space="preserve"> (</w:t>
      </w:r>
      <w:r>
        <w:rPr>
          <w:rFonts w:cs="Arial"/>
          <w:b/>
          <w:color w:val="000000" w:themeColor="text1"/>
          <w:szCs w:val="22"/>
        </w:rPr>
        <w:t>1.5 hr</w:t>
      </w:r>
      <w:r>
        <w:rPr>
          <w:rFonts w:cs="Arial"/>
          <w:color w:val="000000" w:themeColor="text1"/>
          <w:szCs w:val="22"/>
        </w:rPr>
        <w:t xml:space="preserve">; 10 -12 students, 2 faculty). </w:t>
      </w:r>
      <w:r>
        <w:rPr>
          <w:rFonts w:cs="Arial"/>
          <w:szCs w:val="22"/>
        </w:rPr>
        <w:t>As in previous years, these topics are re-enforced by mandating an online CITI module (1 hr), and students are required to participate in an RCR-dedicated lab meeting, organized and led by the lab principal investigator (</w:t>
      </w:r>
      <w:r>
        <w:rPr>
          <w:rFonts w:cs="Arial"/>
          <w:b/>
          <w:szCs w:val="22"/>
        </w:rPr>
        <w:t>1.5 hr</w:t>
      </w:r>
      <w:r>
        <w:rPr>
          <w:rFonts w:cs="Arial"/>
          <w:szCs w:val="22"/>
        </w:rPr>
        <w:t>).</w:t>
      </w:r>
    </w:p>
    <w:p>
      <w:pPr>
        <w:pStyle w:val="Normal"/>
        <w:rPr>
          <w:rFonts w:cs="Arial"/>
          <w:color w:val="000000" w:themeColor="text1"/>
          <w:szCs w:val="22"/>
        </w:rPr>
      </w:pPr>
      <w:r>
        <w:rPr>
          <w:rFonts w:cs="Arial"/>
          <w:color w:val="000000" w:themeColor="text1"/>
          <w:szCs w:val="22"/>
        </w:rPr>
      </w:r>
    </w:p>
    <w:p>
      <w:pPr>
        <w:pStyle w:val="Normal"/>
        <w:rPr>
          <w:rFonts w:cs="Arial"/>
          <w:color w:val="000000" w:themeColor="text1"/>
          <w:szCs w:val="22"/>
        </w:rPr>
      </w:pPr>
      <w:r>
        <w:rPr>
          <w:rFonts w:cs="Arial"/>
          <w:b/>
          <w:color w:val="000000" w:themeColor="text1"/>
          <w:szCs w:val="22"/>
        </w:rPr>
        <w:t>Year</w:t>
      </w:r>
      <w:r>
        <w:rPr>
          <w:rFonts w:cs="Arial"/>
          <w:b/>
          <w:color w:val="000000" w:themeColor="text1"/>
          <w:szCs w:val="22"/>
        </w:rPr>
        <w:t>s</w:t>
      </w:r>
      <w:r>
        <w:rPr>
          <w:rFonts w:cs="Arial"/>
          <w:b/>
          <w:color w:val="000000" w:themeColor="text1"/>
          <w:szCs w:val="22"/>
        </w:rPr>
        <w:t xml:space="preserve"> five</w:t>
      </w:r>
      <w:r>
        <w:rPr>
          <w:rFonts w:cs="Arial"/>
          <w:color w:val="000000" w:themeColor="text1"/>
          <w:szCs w:val="22"/>
        </w:rPr>
        <w:t xml:space="preserve"> </w:t>
      </w:r>
      <w:r>
        <w:rPr>
          <w:rFonts w:cs="Arial"/>
          <w:b/>
          <w:bCs/>
          <w:color w:val="000000" w:themeColor="text1"/>
          <w:szCs w:val="22"/>
        </w:rPr>
        <w:t>onwards</w:t>
      </w:r>
      <w:r>
        <w:rPr>
          <w:rFonts w:cs="Arial"/>
          <w:color w:val="000000" w:themeColor="text1"/>
          <w:szCs w:val="22"/>
        </w:rPr>
        <w:t xml:space="preserve"> </w:t>
      </w:r>
      <w:r>
        <w:rPr>
          <w:rFonts w:cs="Arial"/>
          <w:color w:val="000000" w:themeColor="text1"/>
          <w:szCs w:val="22"/>
        </w:rPr>
        <w:t>(</w:t>
      </w:r>
      <w:r>
        <w:rPr>
          <w:rFonts w:cs="Arial"/>
          <w:b/>
          <w:color w:val="000000" w:themeColor="text1"/>
          <w:szCs w:val="22"/>
        </w:rPr>
        <w:t>1.5 hr</w:t>
      </w:r>
      <w:r>
        <w:rPr>
          <w:rFonts w:cs="Arial"/>
          <w:color w:val="000000" w:themeColor="text1"/>
          <w:szCs w:val="22"/>
        </w:rPr>
        <w:t>):  S</w:t>
      </w:r>
      <w:r>
        <w:rPr>
          <w:rFonts w:cs="Arial"/>
          <w:szCs w:val="22"/>
        </w:rPr>
        <w:t>tudents are required to participate in an RCR-dedicated lab meeting, organized and led by the lab principal investigator (</w:t>
      </w:r>
      <w:r>
        <w:rPr>
          <w:rFonts w:cs="Arial"/>
          <w:b/>
          <w:szCs w:val="22"/>
        </w:rPr>
        <w:t>1.5 hr</w:t>
      </w:r>
      <w:r>
        <w:rPr>
          <w:rFonts w:cs="Arial"/>
          <w:szCs w:val="22"/>
        </w:rPr>
        <w:t>).</w:t>
      </w:r>
    </w:p>
    <w:p>
      <w:pPr>
        <w:pStyle w:val="Normal"/>
        <w:rPr>
          <w:rFonts w:cs="Arial"/>
          <w:szCs w:val="22"/>
        </w:rPr>
      </w:pPr>
      <w:r>
        <w:rPr>
          <w:rFonts w:cs="Arial"/>
          <w:szCs w:val="22"/>
        </w:rPr>
      </w:r>
    </w:p>
    <w:p>
      <w:pPr>
        <w:pStyle w:val="Normal"/>
        <w:rPr>
          <w:rFonts w:cs="Arial"/>
          <w:szCs w:val="22"/>
        </w:rPr>
      </w:pPr>
      <w:r>
        <w:rPr>
          <w:rFonts w:cs="Arial"/>
          <w:szCs w:val="22"/>
        </w:rPr>
        <w:t>For RCR-dedicated lab meetings, the PI selects one or two RCR topics and leads a discussion of these topics among lab members. This design not only satisfies the small group design of good RCR discussion, but fosters treatment of the issue from the perspective of the work and context of the laboratory itself. Lab PIs report their RCR-dedicated lab meetings to BGS, including topics covered, materials used, and trainees participating.</w:t>
      </w:r>
    </w:p>
    <w:p>
      <w:pPr>
        <w:pStyle w:val="Normal"/>
        <w:rPr/>
      </w:pPr>
      <w:r>
        <w:rPr/>
      </w:r>
    </w:p>
    <w:sectPr>
      <w:type w:val="nextPage"/>
      <w:pgSz w:w="12240" w:h="15840"/>
      <w:pgMar w:left="720" w:right="720" w:header="0" w:top="1080" w:footer="0" w:bottom="72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93165"/>
    <w:pPr>
      <w:widowControl/>
      <w:bidi w:val="0"/>
      <w:jc w:val="left"/>
    </w:pPr>
    <w:rPr>
      <w:rFonts w:ascii="Arial" w:hAnsi="Arial" w:eastAsia="ＭＳ 明朝" w:cs="" w:cstheme="minorBidi" w:eastAsiaTheme="minorEastAsia"/>
      <w:color w:val="auto"/>
      <w:sz w:val="22"/>
      <w:szCs w:val="24"/>
      <w:lang w:val="en-US" w:eastAsia="ja-JP"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455ab"/>
    <w:rPr>
      <w:sz w:val="16"/>
      <w:szCs w:val="16"/>
    </w:rPr>
  </w:style>
  <w:style w:type="character" w:styleId="CommentTextChar" w:customStyle="1">
    <w:name w:val="Comment Text Char"/>
    <w:basedOn w:val="DefaultParagraphFont"/>
    <w:link w:val="CommentText"/>
    <w:uiPriority w:val="99"/>
    <w:semiHidden/>
    <w:qFormat/>
    <w:rsid w:val="008455ab"/>
    <w:rPr>
      <w:rFonts w:ascii="Arial" w:hAnsi="Arial"/>
      <w:sz w:val="20"/>
      <w:szCs w:val="20"/>
    </w:rPr>
  </w:style>
  <w:style w:type="character" w:styleId="CommentSubjectChar" w:customStyle="1">
    <w:name w:val="Comment Subject Char"/>
    <w:basedOn w:val="CommentTextChar"/>
    <w:link w:val="CommentSubject"/>
    <w:uiPriority w:val="99"/>
    <w:semiHidden/>
    <w:qFormat/>
    <w:rsid w:val="008455ab"/>
    <w:rPr>
      <w:rFonts w:ascii="Arial" w:hAnsi="Arial"/>
      <w:b/>
      <w:bCs/>
      <w:sz w:val="20"/>
      <w:szCs w:val="20"/>
    </w:rPr>
  </w:style>
  <w:style w:type="character" w:styleId="BalloonTextChar" w:customStyle="1">
    <w:name w:val="Balloon Text Char"/>
    <w:basedOn w:val="DefaultParagraphFont"/>
    <w:link w:val="BalloonText"/>
    <w:uiPriority w:val="99"/>
    <w:semiHidden/>
    <w:qFormat/>
    <w:rsid w:val="008455ab"/>
    <w:rPr>
      <w:rFonts w:ascii="Tahoma" w:hAnsi="Tahoma" w:cs="Tahoma"/>
      <w:sz w:val="16"/>
      <w:szCs w:val="16"/>
    </w:rPr>
  </w:style>
  <w:style w:type="character" w:styleId="InternetLink">
    <w:name w:val="Internet Link"/>
    <w:basedOn w:val="DefaultParagraphFont"/>
    <w:uiPriority w:val="99"/>
    <w:unhideWhenUsed/>
    <w:rsid w:val="007d7cba"/>
    <w:rPr>
      <w:color w:val="0000FF" w:themeColor="hyperlink"/>
      <w:u w:val="single"/>
    </w:rPr>
  </w:style>
  <w:style w:type="character" w:styleId="FollowedHyperlink">
    <w:name w:val="FollowedHyperlink"/>
    <w:basedOn w:val="DefaultParagraphFont"/>
    <w:uiPriority w:val="99"/>
    <w:semiHidden/>
    <w:unhideWhenUsed/>
    <w:qFormat/>
    <w:rsid w:val="00814942"/>
    <w:rPr>
      <w:color w:val="800080" w:themeColor="followedHyperlink"/>
      <w:u w:val="single"/>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Annotationtext">
    <w:name w:val="annotation text"/>
    <w:basedOn w:val="Normal"/>
    <w:link w:val="CommentTextChar"/>
    <w:uiPriority w:val="99"/>
    <w:semiHidden/>
    <w:unhideWhenUsed/>
    <w:qFormat/>
    <w:rsid w:val="008455ab"/>
    <w:pPr/>
    <w:rPr>
      <w:sz w:val="20"/>
      <w:szCs w:val="20"/>
    </w:rPr>
  </w:style>
  <w:style w:type="paragraph" w:styleId="Annotationsubject">
    <w:name w:val="annotation subject"/>
    <w:basedOn w:val="Annotationtext"/>
    <w:link w:val="CommentSubjectChar"/>
    <w:uiPriority w:val="99"/>
    <w:semiHidden/>
    <w:unhideWhenUsed/>
    <w:qFormat/>
    <w:rsid w:val="008455ab"/>
    <w:pPr/>
    <w:rPr>
      <w:b/>
      <w:bCs/>
    </w:rPr>
  </w:style>
  <w:style w:type="paragraph" w:styleId="BalloonText">
    <w:name w:val="Balloon Text"/>
    <w:basedOn w:val="Normal"/>
    <w:link w:val="BalloonTextChar"/>
    <w:uiPriority w:val="99"/>
    <w:semiHidden/>
    <w:unhideWhenUsed/>
    <w:qFormat/>
    <w:rsid w:val="008455ab"/>
    <w:pPr/>
    <w:rPr>
      <w:rFonts w:ascii="Tahoma" w:hAnsi="Tahoma" w:cs="Tahoma"/>
      <w:sz w:val="16"/>
      <w:szCs w:val="16"/>
    </w:rPr>
  </w:style>
  <w:style w:type="paragraph" w:styleId="NormalWeb">
    <w:name w:val="Normal (Web)"/>
    <w:basedOn w:val="Normal"/>
    <w:uiPriority w:val="99"/>
    <w:semiHidden/>
    <w:unhideWhenUsed/>
    <w:qFormat/>
    <w:rsid w:val="00c2730f"/>
    <w:pPr>
      <w:spacing w:beforeAutospacing="1" w:afterAutospacing="1"/>
    </w:pPr>
    <w:rPr>
      <w:rFonts w:ascii="Times New Roman" w:hAnsi="Times New Roman" w:eastAsia="Times New Roman" w:cs="Times New Roman"/>
      <w:sz w:val="24"/>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ed.upenn.edu/bgs-rcr-exde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79CF-A4BF-48B6-AEBB-18A702E0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LibreOffice/5.1.6.2$Linux_X86_64 LibreOffice_project/10m0$Build-2</Application>
  <Pages>1</Pages>
  <Words>702</Words>
  <Characters>4032</Characters>
  <CharactersWithSpaces>4740</CharactersWithSpaces>
  <Paragraphs>7</Paragraphs>
  <Company>University of Pennsylvania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2019-08-20T19:18:00Z</dcterms:created>
  <dc:creator>David Manning</dc:creator>
  <dc:description/>
  <dc:language>en-US</dc:language>
  <cp:lastModifiedBy/>
  <cp:lastPrinted>2019-03-12T13:36:00Z</cp:lastPrinted>
  <dcterms:modified xsi:type="dcterms:W3CDTF">2019-11-01T11:03:57Z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Pennsylvania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